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1" w:y="7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8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5" w:y="75"/>
        <w:widowControl w:val="0"/>
        <w:rPr>
          <w:sz w:val="2"/>
          <w:szCs w:val="2"/>
        </w:rPr>
      </w:pPr>
      <w:r>
        <w:pict>
          <v:shape id="_x0000_s1027" type="#_x0000_t75" style="width:568pt;height:81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236"/>
        <w:widowControl w:val="0"/>
        <w:rPr>
          <w:sz w:val="2"/>
          <w:szCs w:val="2"/>
        </w:rPr>
      </w:pPr>
      <w:r>
        <w:pict>
          <v:shape id="_x0000_s1028" type="#_x0000_t75" style="width:589pt;height:81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9" w:y="435"/>
        <w:widowControl w:val="0"/>
        <w:rPr>
          <w:sz w:val="2"/>
          <w:szCs w:val="2"/>
        </w:rPr>
      </w:pPr>
      <w:r>
        <w:pict>
          <v:shape id="_x0000_s1029" type="#_x0000_t75" style="width:551pt;height:77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3" w:y="114"/>
        <w:widowControl w:val="0"/>
        <w:rPr>
          <w:sz w:val="2"/>
          <w:szCs w:val="2"/>
        </w:rPr>
      </w:pPr>
      <w:r>
        <w:pict>
          <v:shape id="_x0000_s1030" type="#_x0000_t75" style="width:532pt;height:7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5" w:y="695"/>
        <w:widowControl w:val="0"/>
        <w:rPr>
          <w:sz w:val="2"/>
          <w:szCs w:val="2"/>
        </w:rPr>
      </w:pPr>
      <w:r>
        <w:pict>
          <v:shape id="_x0000_s1031" type="#_x0000_t75" style="width:563pt;height:77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3" w:y="571"/>
        <w:widowControl w:val="0"/>
        <w:rPr>
          <w:sz w:val="2"/>
          <w:szCs w:val="2"/>
        </w:rPr>
      </w:pPr>
      <w:r>
        <w:pict>
          <v:shape id="_x0000_s1032" type="#_x0000_t75" style="width:523pt;height:76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1"/>
        </w:numPr>
        <w:framePr w:w="11774" w:h="16582" w:hRule="exact" w:wrap="none" w:vAnchor="page" w:hAnchor="page" w:x="127" w:y="132"/>
        <w:tabs>
          <w:tab w:leader="none" w:pos="19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Работодатель обеспечивает:</w:t>
      </w:r>
    </w:p>
    <w:p>
      <w:pPr>
        <w:pStyle w:val="Style3"/>
        <w:numPr>
          <w:ilvl w:val="0"/>
          <w:numId w:val="3"/>
        </w:numPr>
        <w:framePr w:w="11774" w:h="16582" w:hRule="exact" w:wrap="none" w:vAnchor="page" w:hAnchor="page" w:x="127" w:y="132"/>
        <w:tabs>
          <w:tab w:leader="none" w:pos="21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Занятость в первую очередь работников, с которыми заключен трудовой договор по основному месту работы.</w:t>
      </w:r>
    </w:p>
    <w:p>
      <w:pPr>
        <w:pStyle w:val="Style3"/>
        <w:numPr>
          <w:ilvl w:val="0"/>
          <w:numId w:val="1"/>
        </w:numPr>
        <w:framePr w:w="11774" w:h="16582" w:hRule="exact" w:wrap="none" w:vAnchor="page" w:hAnchor="page" w:x="127" w:y="132"/>
        <w:tabs>
          <w:tab w:leader="none" w:pos="19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Стороны договорились, что:</w:t>
      </w:r>
    </w:p>
    <w:p>
      <w:pPr>
        <w:pStyle w:val="Style3"/>
        <w:numPr>
          <w:ilvl w:val="0"/>
          <w:numId w:val="5"/>
        </w:numPr>
        <w:framePr w:w="11774" w:h="16582" w:hRule="exact" w:wrap="none" w:vAnchor="page" w:hAnchor="page" w:x="127" w:y="132"/>
        <w:tabs>
          <w:tab w:leader="none" w:pos="2116" w:val="left"/>
          <w:tab w:leader="none" w:pos="4890" w:val="left"/>
          <w:tab w:leader="none" w:pos="7396" w:val="left"/>
          <w:tab w:leader="none" w:pos="8346" w:val="left"/>
          <w:tab w:leader="none" w:pos="89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Преимущественное право</w:t>
        <w:tab/>
        <w:t>на оставление на</w:t>
        <w:tab/>
        <w:t>работе</w:t>
        <w:tab/>
        <w:t>при</w:t>
        <w:tab/>
        <w:t>сокращении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780" w:right="1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численности или штата равной производительности труда и квалификации помимо лиц, указанных в ст. 179 ТК РФ, имеют также лица: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1080" w:right="57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предпенсионного возраста (за два года до пенсии); проработавшие в ДОО свыше 10 лет: </w:t>
      </w:r>
      <w:r>
        <w:rPr>
          <w:rStyle w:val="CharStyle5"/>
        </w:rPr>
        <w:t xml:space="preserve">одинокие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матери и отцы, воспитывающие детей до </w:t>
      </w:r>
      <w:r>
        <w:rPr>
          <w:rStyle w:val="CharStyle6"/>
        </w:rPr>
        <w:t>16</w:t>
      </w:r>
      <w:r>
        <w:rPr>
          <w:rStyle w:val="CharStyle5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лет; родители, воспитывающие детей-инвалидов до 18 лет;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1080" w:right="33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награжденные государственными наградами в связи с педагогической деятельностью; председатель, заместитель председателя первичной профсоюзной организации;</w:t>
      </w:r>
    </w:p>
    <w:p>
      <w:pPr>
        <w:pStyle w:val="Style3"/>
        <w:framePr w:w="11774" w:h="16582" w:hRule="exact" w:wrap="none" w:vAnchor="page" w:hAnchor="page" w:x="127" w:y="132"/>
        <w:tabs>
          <w:tab w:leader="none" w:pos="4890" w:val="left"/>
          <w:tab w:leader="none" w:pos="6643" w:val="left"/>
          <w:tab w:leader="none" w:pos="7396" w:val="left"/>
          <w:tab w:leader="none" w:pos="8346" w:val="left"/>
          <w:tab w:leader="none" w:pos="89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1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молодые специалисты, имеющие</w:t>
        <w:tab/>
        <w:t>трудовой стаж</w:t>
        <w:tab/>
        <w:t>менее</w:t>
        <w:tab/>
        <w:t>одного</w:t>
        <w:tab/>
        <w:t>года</w:t>
        <w:tab/>
        <w:t>(и другие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категории работников).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ст. 261 ТК РФ, расторжение трудового договора с одинокими матерями, воспитывающими ребенка в возрасте до 14 лет (ребенка-инвалида до 18 лет), другими лицами, воспитывающими указанных детей без матери, по инициативе работодателя не допускается (за исключением увольнения по основаниям, предусмотренным пунктами 1,5-8,10 или 11 части первой статьи 81 или пунктом 2 статьи 336 ТК РФ).</w:t>
      </w:r>
    </w:p>
    <w:p>
      <w:pPr>
        <w:pStyle w:val="Style3"/>
        <w:numPr>
          <w:ilvl w:val="0"/>
          <w:numId w:val="5"/>
        </w:numPr>
        <w:framePr w:w="11774" w:h="16582" w:hRule="exact" w:wrap="none" w:vAnchor="page" w:hAnchor="page" w:x="127" w:y="132"/>
        <w:tabs>
          <w:tab w:leader="none" w:pos="21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>
      <w:pPr>
        <w:pStyle w:val="Style3"/>
        <w:numPr>
          <w:ilvl w:val="0"/>
          <w:numId w:val="1"/>
        </w:numPr>
        <w:framePr w:w="11774" w:h="16582" w:hRule="exact" w:wrap="none" w:vAnchor="page" w:hAnchor="page" w:x="127" w:y="132"/>
        <w:tabs>
          <w:tab w:leader="none" w:pos="19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Работодатель с учетом мнения профсоюзного комитета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ОО.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Работодатель обеспечивает подготовку и проведение аттестации педагогических работников сообразно с нормативными документами, установление работникам соответствующих полученным квалификационным категориям разрядов оплаты труда со дня вынесения решения аттестационной комиссией.</w:t>
      </w:r>
    </w:p>
    <w:p>
      <w:pPr>
        <w:pStyle w:val="Style3"/>
        <w:numPr>
          <w:ilvl w:val="0"/>
          <w:numId w:val="7"/>
        </w:numPr>
        <w:framePr w:w="11774" w:h="16582" w:hRule="exact" w:wrap="none" w:vAnchor="page" w:hAnchor="page" w:x="127" w:y="132"/>
        <w:tabs>
          <w:tab w:leader="none" w:pos="21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Педагогические работники имеют право на дополнительное профессиональное образование по профилю педагогической деятельности не реже, чем один раз в три года.</w:t>
      </w:r>
    </w:p>
    <w:p>
      <w:pPr>
        <w:pStyle w:val="Style3"/>
        <w:numPr>
          <w:ilvl w:val="0"/>
          <w:numId w:val="7"/>
        </w:numPr>
        <w:framePr w:w="11774" w:h="16582" w:hRule="exact" w:wrap="none" w:vAnchor="page" w:hAnchor="page" w:x="127" w:y="132"/>
        <w:tabs>
          <w:tab w:leader="none" w:pos="21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Сохранение за работником места работы (должности) и средней заработной платы по основному месту работы при направлении работника на повышение квалификации с отрывом от работы. Оплату командировочных расходов в порядке и размерах, предусмотренных для лиц, направляемых в служебные командировки (ст. 168, 187 ТК РФ), в случае, если работник направляется для повышения квалификации в другую местность.</w:t>
      </w:r>
    </w:p>
    <w:p>
      <w:pPr>
        <w:pStyle w:val="Style3"/>
        <w:numPr>
          <w:ilvl w:val="0"/>
          <w:numId w:val="7"/>
        </w:numPr>
        <w:framePr w:w="11774" w:h="16582" w:hRule="exact" w:wrap="none" w:vAnchor="page" w:hAnchor="page" w:x="127" w:y="132"/>
        <w:tabs>
          <w:tab w:leader="none" w:pos="2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Предоставление гарантий и компенсаций работникам, совмещающим работу с успешным обучением в учреждениях высшего, среднего и начального профессионального образования, при получении ими образования в порядке, предусмотренном ст. 173-176 ТК РФ.</w:t>
      </w:r>
    </w:p>
    <w:p>
      <w:pPr>
        <w:pStyle w:val="Style3"/>
        <w:numPr>
          <w:ilvl w:val="0"/>
          <w:numId w:val="7"/>
        </w:numPr>
        <w:framePr w:w="11774" w:h="16582" w:hRule="exact" w:wrap="none" w:vAnchor="page" w:hAnchor="page" w:x="127" w:y="132"/>
        <w:tabs>
          <w:tab w:leader="none" w:pos="21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61" w:line="226" w:lineRule="exact"/>
        <w:ind w:left="780" w:right="166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Стороны гарантируют работникам образования при подготовке и проведении аттестации предоставление всех прав и льгот, закрепленных нормативными правовыми актами.</w:t>
      </w:r>
    </w:p>
    <w:p>
      <w:pPr>
        <w:pStyle w:val="Style7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left"/>
        <w:spacing w:before="0" w:after="174" w:line="200" w:lineRule="exact"/>
        <w:ind w:left="3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6. РАБОЧЕЕ ВРЕМЯ И ВРЕМЯ </w:t>
      </w:r>
      <w:r>
        <w:rPr>
          <w:rStyle w:val="CharStyle9"/>
          <w:b w:val="0"/>
          <w:bCs w:val="0"/>
        </w:rPr>
        <w:t>ОТДЫХА</w:t>
      </w:r>
    </w:p>
    <w:p>
      <w:pPr>
        <w:pStyle w:val="Style3"/>
        <w:numPr>
          <w:ilvl w:val="0"/>
          <w:numId w:val="9"/>
        </w:numPr>
        <w:framePr w:w="11774" w:h="16582" w:hRule="exact" w:wrap="none" w:vAnchor="page" w:hAnchor="page" w:x="127" w:y="132"/>
        <w:tabs>
          <w:tab w:leader="none" w:pos="19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Режим рабочего времени в организации определяется Правилами внутреннего трудового распорядка ДОО. графиком работ, условиями трудового договора, должностными инструкш</w:t>
      </w:r>
      <w:r>
        <w:rPr>
          <w:rStyle w:val="CharStyle1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ями работников и обязанностями, возлагаемыми на них Уставом ДОО.</w:t>
      </w:r>
    </w:p>
    <w:p>
      <w:pPr>
        <w:pStyle w:val="Style3"/>
        <w:numPr>
          <w:ilvl w:val="0"/>
          <w:numId w:val="9"/>
        </w:numPr>
        <w:framePr w:w="11774" w:h="16582" w:hRule="exact" w:wrap="none" w:vAnchor="page" w:hAnchor="page" w:x="127" w:y="132"/>
        <w:tabs>
          <w:tab w:leader="none" w:pos="19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Нормальная продолжительность рабочего времени - 40 часов в неделю, для женщин - 36 часов в неделю. Для отдельных категорий работников установлена меньшая продолжительность рабочего времени:</w:t>
      </w:r>
    </w:p>
    <w:p>
      <w:pPr>
        <w:pStyle w:val="Style3"/>
        <w:numPr>
          <w:ilvl w:val="0"/>
          <w:numId w:val="11"/>
        </w:numPr>
        <w:framePr w:w="11774" w:h="16582" w:hRule="exact" w:wrap="none" w:vAnchor="page" w:hAnchor="page" w:x="127" w:y="132"/>
        <w:tabs>
          <w:tab w:leader="none" w:pos="9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 часа в неделю - музыкальным руководителям;</w:t>
      </w:r>
    </w:p>
    <w:p>
      <w:pPr>
        <w:pStyle w:val="Style3"/>
        <w:numPr>
          <w:ilvl w:val="0"/>
          <w:numId w:val="11"/>
        </w:numPr>
        <w:framePr w:w="11774" w:h="16582" w:hRule="exact" w:wrap="none" w:vAnchor="page" w:hAnchor="page" w:x="127" w:y="132"/>
        <w:tabs>
          <w:tab w:leader="none" w:pos="9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36 часов в неделю - воспитателям, педагогам-психологам;</w:t>
      </w:r>
    </w:p>
    <w:p>
      <w:pPr>
        <w:pStyle w:val="Style3"/>
        <w:numPr>
          <w:ilvl w:val="0"/>
          <w:numId w:val="11"/>
        </w:numPr>
        <w:framePr w:w="11774" w:h="16582" w:hRule="exact" w:wrap="none" w:vAnchor="page" w:hAnchor="page" w:x="127" w:y="132"/>
        <w:tabs>
          <w:tab w:leader="none" w:pos="9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 часов инструктору по физической культуре.</w:t>
      </w:r>
    </w:p>
    <w:p>
      <w:pPr>
        <w:pStyle w:val="Style3"/>
        <w:numPr>
          <w:ilvl w:val="0"/>
          <w:numId w:val="9"/>
        </w:numPr>
        <w:framePr w:w="11774" w:h="16582" w:hRule="exact" w:wrap="none" w:vAnchor="page" w:hAnchor="page" w:x="127" w:y="132"/>
        <w:tabs>
          <w:tab w:leader="none" w:pos="19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Работники могут привлекаться к сверхурочным работам в порядке, предусмотренном ст. 99 ТК РФ. Продолжительность таких работ не должна превышать для каждого работника четырех часов в течение двух дней подряд и 120 часов в год.</w:t>
      </w:r>
    </w:p>
    <w:p>
      <w:pPr>
        <w:pStyle w:val="Style3"/>
        <w:framePr w:w="11774" w:h="16582" w:hRule="exact" w:wrap="none" w:vAnchor="page" w:hAnchor="page" w:x="127" w:y="132"/>
        <w:widowControl w:val="0"/>
        <w:keepNext w:val="0"/>
        <w:keepLines w:val="0"/>
        <w:shd w:val="clear" w:color="auto" w:fill="auto"/>
        <w:bidi w:val="0"/>
        <w:jc w:val="both"/>
        <w:spacing w:before="0" w:after="0" w:line="22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Работодатель обязан обеспечить точный учет продолжительности сверхурочной работы каждого работника.</w:t>
      </w:r>
    </w:p>
    <w:p>
      <w:pPr>
        <w:pStyle w:val="Style3"/>
        <w:numPr>
          <w:ilvl w:val="0"/>
          <w:numId w:val="9"/>
        </w:numPr>
        <w:framePr w:w="11774" w:h="16582" w:hRule="exact" w:wrap="none" w:vAnchor="page" w:hAnchor="page" w:x="127" w:y="132"/>
        <w:tabs>
          <w:tab w:leader="none" w:pos="19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780" w:right="166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Работа в выходные и нерабочие праздничные дни запрещается, за исключением случаев, предусмотренных Трудовым кодексом РФ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3" w:y="351"/>
        <w:widowControl w:val="0"/>
        <w:rPr>
          <w:sz w:val="2"/>
          <w:szCs w:val="2"/>
        </w:rPr>
      </w:pPr>
      <w:r>
        <w:pict>
          <v:shape id="_x0000_s1033" type="#_x0000_t75" style="width:518pt;height:7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1" w:y="71"/>
        <w:widowControl w:val="0"/>
        <w:rPr>
          <w:sz w:val="2"/>
          <w:szCs w:val="2"/>
        </w:rPr>
      </w:pPr>
      <w:r>
        <w:pict>
          <v:shape id="_x0000_s1034" type="#_x0000_t75" style="width:544pt;height:81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41" w:y="238"/>
        <w:widowControl w:val="0"/>
        <w:rPr>
          <w:sz w:val="2"/>
          <w:szCs w:val="2"/>
        </w:rPr>
      </w:pPr>
      <w:r>
        <w:pict>
          <v:shape id="_x0000_s1035" type="#_x0000_t75" style="width:524pt;height:82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5" w:y="166"/>
        <w:widowControl w:val="0"/>
        <w:rPr>
          <w:sz w:val="2"/>
          <w:szCs w:val="2"/>
        </w:rPr>
      </w:pPr>
      <w:r>
        <w:pict>
          <v:shape id="_x0000_s1036" type="#_x0000_t75" style="width:547pt;height:82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09" w:y="167"/>
        <w:widowControl w:val="0"/>
        <w:rPr>
          <w:sz w:val="2"/>
          <w:szCs w:val="2"/>
        </w:rPr>
      </w:pPr>
      <w:r>
        <w:pict>
          <v:shape id="_x0000_s1037" type="#_x0000_t75" style="width:528pt;height:82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" w:y="558"/>
        <w:widowControl w:val="0"/>
        <w:rPr>
          <w:sz w:val="2"/>
          <w:szCs w:val="2"/>
        </w:rPr>
      </w:pPr>
      <w:r>
        <w:pict>
          <v:shape id="_x0000_s1038" type="#_x0000_t75" style="width:596pt;height:80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8" w:h="1719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517"/>
        <w:widowControl w:val="0"/>
        <w:rPr>
          <w:sz w:val="2"/>
          <w:szCs w:val="2"/>
        </w:rPr>
      </w:pPr>
      <w:r>
        <w:pict>
          <v:shape id="_x0000_s1039" type="#_x0000_t75" style="width:583pt;height:81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418" w:h="17198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5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5.1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5.2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5.3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6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5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6">
    <w:name w:val="Основной текст (2) + 10,5 pt"/>
    <w:basedOn w:val="CharStyle4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8">
    <w:name w:val="Основной текст (11)_"/>
    <w:basedOn w:val="DefaultParagraphFont"/>
    <w:link w:val="Style7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9">
    <w:name w:val="Основной текст (11) + Не полужирный"/>
    <w:basedOn w:val="CharStyle8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0">
    <w:name w:val="Основной текст (2) + Franklin Gothic Book,4 pt"/>
    <w:basedOn w:val="CharStyle4"/>
    <w:rPr>
      <w:lang w:val="ru-RU" w:eastAsia="ru-RU" w:bidi="ru-RU"/>
      <w:sz w:val="8"/>
      <w:szCs w:val="8"/>
      <w:rFonts w:ascii="Franklin Gothic Book" w:eastAsia="Franklin Gothic Book" w:hAnsi="Franklin Gothic Book" w:cs="Franklin Gothic Book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7">
    <w:name w:val="Основной текст (11)"/>
    <w:basedOn w:val="Normal"/>
    <w:link w:val="CharStyle8"/>
    <w:pPr>
      <w:widowControl w:val="0"/>
      <w:shd w:val="clear" w:color="auto" w:fill="FFFFFF"/>
      <w:jc w:val="both"/>
      <w:spacing w:line="456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